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9BBA" w14:textId="39802A96" w:rsidR="00011E49" w:rsidRP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color w:val="7B7B7B" w:themeColor="accent3" w:themeShade="BF"/>
          <w:sz w:val="26"/>
          <w:szCs w:val="26"/>
        </w:rPr>
      </w:pPr>
      <w:r w:rsidRPr="00011E49">
        <w:rPr>
          <w:rFonts w:ascii="Times New Roman" w:hAnsi="Times New Roman" w:cs="Times New Roman"/>
          <w:b/>
          <w:bCs/>
          <w:color w:val="7B7B7B" w:themeColor="accent3" w:themeShade="BF"/>
          <w:sz w:val="26"/>
          <w:szCs w:val="26"/>
        </w:rPr>
        <w:t>ФОРМА ОТЧЕТА</w:t>
      </w:r>
    </w:p>
    <w:p w14:paraId="04EE9104" w14:textId="77777777" w:rsid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B2DFB09" w14:textId="77777777" w:rsid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4AA0AE9" w14:textId="304E65AE" w:rsidR="00FD1F9A" w:rsidRPr="00E02CA6" w:rsidRDefault="00011E49" w:rsidP="00556B31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Информационная справка о реализации </w:t>
      </w:r>
      <w:r w:rsidR="00FD1F9A" w:rsidRPr="00E02CA6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>омплексн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мероприятий</w:t>
      </w:r>
    </w:p>
    <w:p w14:paraId="63C2017A" w14:textId="79BD1C08" w:rsidR="00F44D6A" w:rsidRPr="00F44D6A" w:rsidRDefault="00F44D6A" w:rsidP="00F4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организационно-методической поддержке инфраструктуры </w:t>
      </w:r>
    </w:p>
    <w:p w14:paraId="6369A373" w14:textId="5F4B42D2" w:rsidR="00F44D6A" w:rsidRPr="00F44D6A" w:rsidRDefault="00F44D6A" w:rsidP="00F4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национального проекта «Образование» в Ненецком автономном округе </w:t>
      </w: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2024/2025 учебном году</w:t>
      </w:r>
    </w:p>
    <w:p w14:paraId="68ED9210" w14:textId="77777777" w:rsidR="0082715F" w:rsidRPr="00E02CA6" w:rsidRDefault="0082715F" w:rsidP="00E02CA6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D096C1D" w14:textId="77777777" w:rsidR="0082715F" w:rsidRPr="00E02CA6" w:rsidRDefault="0082715F" w:rsidP="00E02CA6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752"/>
        <w:gridCol w:w="3878"/>
        <w:gridCol w:w="2719"/>
        <w:gridCol w:w="2240"/>
        <w:gridCol w:w="2620"/>
        <w:gridCol w:w="7"/>
        <w:gridCol w:w="3094"/>
      </w:tblGrid>
      <w:tr w:rsidR="00011E49" w:rsidRPr="00011E49" w14:paraId="7F32EF48" w14:textId="05C49162" w:rsidTr="00011E49">
        <w:trPr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A1D9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F1DA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0F2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26D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0C04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669" w14:textId="61D9111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об исполнении</w:t>
            </w:r>
          </w:p>
        </w:tc>
      </w:tr>
      <w:tr w:rsidR="00011E49" w:rsidRPr="00011E49" w14:paraId="47310CE4" w14:textId="1D8BD098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AAD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1.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65A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620D045" w14:textId="46C76B3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5A4C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CCA" w14:textId="708D2818" w:rsidR="00011E49" w:rsidRPr="00011E49" w:rsidRDefault="00011E49" w:rsidP="00CF38C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образования «Точка роста» 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896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7–11 классов общеобразовательных организаций (по итогам школьного этапа)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5B5" w14:textId="38307BE0" w:rsidR="00011E49" w:rsidRPr="00011E49" w:rsidRDefault="00011E49" w:rsidP="00EB095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Ноябрь–декабрь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2024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84F1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центр выявления и поддержки одаренных детей государственного бюджетного учреждения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AAB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DC23B81" w14:textId="328C349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BD1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878" w:type="dxa"/>
          </w:tcPr>
          <w:p w14:paraId="563A8B27" w14:textId="694A5F6A" w:rsidR="00011E49" w:rsidRPr="00011E49" w:rsidRDefault="00011E49" w:rsidP="00CF38C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образования «Точка роста» в региональном этапе Всероссийской олимпиады школьников</w:t>
            </w:r>
          </w:p>
        </w:tc>
        <w:tc>
          <w:tcPr>
            <w:tcW w:w="2719" w:type="dxa"/>
          </w:tcPr>
          <w:p w14:paraId="1EF92BC4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9–11 классов общеобразовательных организаций  </w:t>
            </w:r>
          </w:p>
        </w:tc>
        <w:tc>
          <w:tcPr>
            <w:tcW w:w="2240" w:type="dxa"/>
          </w:tcPr>
          <w:p w14:paraId="5810B47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Январь–март</w:t>
            </w:r>
          </w:p>
          <w:p w14:paraId="13E78D1A" w14:textId="4B9F857F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</w:tcPr>
          <w:p w14:paraId="351CD272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Региональный центр выявления и поддержки одаренных детей государственного бюджетного учреждение Ненецкого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47CA187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982F43A" w14:textId="01F1747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069" w14:textId="77777777" w:rsidR="00011E49" w:rsidRPr="00011E49" w:rsidRDefault="00011E4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6A2" w14:textId="77777777" w:rsidR="00011E49" w:rsidRPr="00011E49" w:rsidRDefault="00011E49" w:rsidP="00A407E8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Мастер-классы по модулям «IT – </w:t>
            </w:r>
            <w:proofErr w:type="spellStart"/>
            <w:r w:rsidRPr="00011E49">
              <w:rPr>
                <w:sz w:val="24"/>
                <w:szCs w:val="24"/>
              </w:rPr>
              <w:t>квантум</w:t>
            </w:r>
            <w:proofErr w:type="spellEnd"/>
            <w:r w:rsidRPr="00011E49">
              <w:rPr>
                <w:sz w:val="24"/>
                <w:szCs w:val="24"/>
              </w:rPr>
              <w:t xml:space="preserve">», «VR/AR – </w:t>
            </w:r>
            <w:proofErr w:type="spellStart"/>
            <w:r w:rsidRPr="00011E49">
              <w:rPr>
                <w:sz w:val="24"/>
                <w:szCs w:val="24"/>
              </w:rPr>
              <w:t>квантум</w:t>
            </w:r>
            <w:proofErr w:type="spellEnd"/>
            <w:r w:rsidRPr="00011E49">
              <w:rPr>
                <w:sz w:val="24"/>
                <w:szCs w:val="24"/>
              </w:rPr>
              <w:t>», «</w:t>
            </w:r>
            <w:proofErr w:type="spellStart"/>
            <w:r w:rsidRPr="00011E49">
              <w:rPr>
                <w:sz w:val="24"/>
                <w:szCs w:val="24"/>
              </w:rPr>
              <w:t>Роботехника</w:t>
            </w:r>
            <w:proofErr w:type="spellEnd"/>
            <w:r w:rsidRPr="00011E49">
              <w:rPr>
                <w:sz w:val="24"/>
                <w:szCs w:val="24"/>
              </w:rPr>
              <w:t>», «</w:t>
            </w:r>
            <w:proofErr w:type="spellStart"/>
            <w:r w:rsidRPr="00011E49">
              <w:rPr>
                <w:sz w:val="24"/>
                <w:szCs w:val="24"/>
              </w:rPr>
              <w:t>Пром</w:t>
            </w:r>
            <w:proofErr w:type="spellEnd"/>
            <w:r w:rsidRPr="00011E49">
              <w:rPr>
                <w:sz w:val="24"/>
                <w:szCs w:val="24"/>
              </w:rPr>
              <w:t>-дизайн», LEGO-конструирование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7F5" w14:textId="77777777" w:rsidR="00011E49" w:rsidRPr="00011E49" w:rsidRDefault="00011E49" w:rsidP="001F0CE7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0D5" w14:textId="731A3CD6" w:rsidR="00011E49" w:rsidRPr="00011E49" w:rsidRDefault="00011E49" w:rsidP="00EB095C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960" w14:textId="666590D2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 государственного бюджетного учреждения дополнительного образования Ненецкого автономного округа «Детско-юношеский центр «Лидер» (далее –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96E7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2573AAEC" w14:textId="1025E50D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865" w14:textId="2CA457A7" w:rsidR="00011E49" w:rsidRPr="00011E49" w:rsidRDefault="00011E49" w:rsidP="00F35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671" w14:textId="37C37C68" w:rsidR="00011E49" w:rsidRPr="00011E49" w:rsidRDefault="00011E49" w:rsidP="00F3595A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Организация участия обучающихся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 во региональных этапах Всероссийских конкурсов технической направленности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82C" w14:textId="61887A58" w:rsidR="00011E49" w:rsidRPr="00011E49" w:rsidRDefault="00011E49" w:rsidP="00F3595A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F86" w14:textId="4BCA76A2" w:rsidR="00011E49" w:rsidRPr="00011E49" w:rsidRDefault="00011E49" w:rsidP="00F3595A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2B7" w14:textId="3135F793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 государственного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F42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36FB8C3D" w14:textId="720EEF22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26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2.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BDB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7680BCD9" w14:textId="0E883277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7AD" w14:textId="77777777" w:rsidR="00011E49" w:rsidRPr="00011E49" w:rsidRDefault="00011E49" w:rsidP="004D04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878" w:type="dxa"/>
          </w:tcPr>
          <w:p w14:paraId="0B41E7AF" w14:textId="18690F57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Семинары/практикумы по обмену опытом использования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оборудования образовательных центров образования «Точка роста» при обучении обучающихся по предметам естественнонаучной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br/>
              <w:t>грамотности</w:t>
            </w:r>
          </w:p>
        </w:tc>
        <w:tc>
          <w:tcPr>
            <w:tcW w:w="2719" w:type="dxa"/>
          </w:tcPr>
          <w:p w14:paraId="0326C577" w14:textId="090DD3A9" w:rsidR="00011E49" w:rsidRPr="00011E49" w:rsidRDefault="00011E49" w:rsidP="004D044F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lastRenderedPageBreak/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-1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центров </w:t>
            </w:r>
            <w:r w:rsidRPr="00011E49">
              <w:rPr>
                <w:sz w:val="24"/>
                <w:szCs w:val="24"/>
              </w:rPr>
              <w:lastRenderedPageBreak/>
              <w:t xml:space="preserve">образования </w:t>
            </w:r>
          </w:p>
          <w:p w14:paraId="7A61E456" w14:textId="01721E22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11E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40" w:type="dxa"/>
          </w:tcPr>
          <w:p w14:paraId="1881A730" w14:textId="56AADB88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2024/2025 учебного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20" w:type="dxa"/>
          </w:tcPr>
          <w:p w14:paraId="40F79E4D" w14:textId="7CD848EA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Государственное бюджетное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1A04ACA4" w14:textId="77777777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D1A1888" w14:textId="6A9D272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909" w14:textId="1388714F" w:rsidR="00011E49" w:rsidRPr="00011E49" w:rsidRDefault="00011E49" w:rsidP="00F359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2.2.</w:t>
            </w:r>
          </w:p>
        </w:tc>
        <w:tc>
          <w:tcPr>
            <w:tcW w:w="3878" w:type="dxa"/>
          </w:tcPr>
          <w:p w14:paraId="64A5B794" w14:textId="43E3D57D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Семинары/практикумы/стажировки по обмену опытом по направлениям технического профиля </w:t>
            </w:r>
          </w:p>
        </w:tc>
        <w:tc>
          <w:tcPr>
            <w:tcW w:w="2719" w:type="dxa"/>
          </w:tcPr>
          <w:p w14:paraId="44808587" w14:textId="1681E757" w:rsidR="00011E49" w:rsidRPr="00011E49" w:rsidRDefault="00011E49" w:rsidP="00F3595A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</w:p>
        </w:tc>
        <w:tc>
          <w:tcPr>
            <w:tcW w:w="2240" w:type="dxa"/>
          </w:tcPr>
          <w:p w14:paraId="118F60F1" w14:textId="1094C0A9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</w:tcPr>
          <w:p w14:paraId="4486A94F" w14:textId="35AFD4E2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01" w:type="dxa"/>
            <w:gridSpan w:val="2"/>
          </w:tcPr>
          <w:p w14:paraId="29F3BF69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7CEEA55D" w14:textId="4DFFCBD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89C" w14:textId="2CB0B419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22E" w14:textId="77777777" w:rsidR="00011E49" w:rsidRPr="00011E49" w:rsidRDefault="00011E4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шахматный турнир «Рост. Дети»</w:t>
            </w:r>
          </w:p>
          <w:p w14:paraId="203C5975" w14:textId="77777777" w:rsidR="00011E49" w:rsidRPr="00011E49" w:rsidRDefault="00011E49" w:rsidP="00CB711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640A091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3F5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A34" w14:textId="5160C9EC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Март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2A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06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1A983A0" w14:textId="18D5925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DEA" w14:textId="534E05EA" w:rsidR="00011E49" w:rsidRPr="00011E49" w:rsidRDefault="00011E49" w:rsidP="00F359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109" w14:textId="73D5A133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шахматный турнир «Рост. Онлайн»</w:t>
            </w:r>
          </w:p>
          <w:p w14:paraId="373BC6BE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B444403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A86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2CD" w14:textId="1C024A0A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Апрель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6F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E1E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E29E932" w14:textId="4505556C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7AB" w14:textId="6CB8A852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451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шахматный турнир «Рост. Педагоги»</w:t>
            </w:r>
          </w:p>
          <w:p w14:paraId="7AA01160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9C79ACA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98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6AF" w14:textId="39D6244F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Декабрь 2024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CC5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D11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3927873D" w14:textId="59F9BCC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5E1" w14:textId="4A8370D2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62D" w14:textId="14B8C8F6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творческий конкурс «Шахматный мир»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33B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1D3" w14:textId="7AE044A3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Февраль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239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520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342FF242" w14:textId="373A24D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4D1" w14:textId="15D5AC91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718" w14:textId="77777777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шахматный турнир </w:t>
            </w:r>
          </w:p>
          <w:p w14:paraId="5725A44D" w14:textId="6B39328C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«Связь поколений»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7A9" w14:textId="039DF5C1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 и их родители (законные представители)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9CE" w14:textId="77777777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Осенний сезон – октябрь 2024 года;</w:t>
            </w:r>
          </w:p>
          <w:p w14:paraId="4A50FA14" w14:textId="11A5DAFE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зимний сезон – </w:t>
            </w:r>
          </w:p>
          <w:p w14:paraId="66649E5C" w14:textId="77777777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Январь 2025 года;</w:t>
            </w:r>
          </w:p>
          <w:p w14:paraId="2455F87F" w14:textId="1ACE06DA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весенний сезон – апрель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B68" w14:textId="3FC0686C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C75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CA0401C" w14:textId="7A2DF1FE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38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3.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323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F6B9B05" w14:textId="2F751D3B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6BDB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9CC" w14:textId="6E0962E4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педагогов центров образования  «Точка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роста» в окружном форуме, организуемом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3DC3" w14:textId="40F4DAC2" w:rsidR="00011E49" w:rsidRPr="00011E49" w:rsidRDefault="00011E49" w:rsidP="007B1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центров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образования «Точка роста»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(в соответствии с квотой)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35D5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В сроки, определяемые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DF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Государственное бюджетное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6C0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455C4AD7" w14:textId="326E0735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642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4.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1D2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3999AB3" w14:textId="2DBB638F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0448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878" w:type="dxa"/>
            <w:hideMark/>
          </w:tcPr>
          <w:p w14:paraId="7BA10064" w14:textId="3968FB3E" w:rsidR="00011E49" w:rsidRPr="00011E49" w:rsidRDefault="00011E49" w:rsidP="007123ED">
            <w:pPr>
              <w:pStyle w:val="TableParagraph"/>
              <w:ind w:left="0" w:right="94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>Обеспечение</w:t>
            </w:r>
            <w:r w:rsidRPr="00011E49">
              <w:rPr>
                <w:spacing w:val="-7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размещения информации о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деятельности 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 на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официальном сайте организации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(или</w:t>
            </w:r>
            <w:r w:rsidRPr="00011E49">
              <w:rPr>
                <w:spacing w:val="-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в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отдельных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группах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в социальных сетях). Популяризация </w:t>
            </w:r>
            <w:r w:rsidRPr="00011E49">
              <w:rPr>
                <w:sz w:val="24"/>
                <w:szCs w:val="24"/>
              </w:rPr>
              <w:lastRenderedPageBreak/>
              <w:t>деятельности 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», в том числе посредством размещения информации на официальном сайте организации, освещения информации в СМИ</w:t>
            </w:r>
          </w:p>
        </w:tc>
        <w:tc>
          <w:tcPr>
            <w:tcW w:w="2719" w:type="dxa"/>
            <w:hideMark/>
          </w:tcPr>
          <w:p w14:paraId="6A98EC0C" w14:textId="01FCF209" w:rsidR="00011E49" w:rsidRPr="00011E49" w:rsidRDefault="00011E49" w:rsidP="007123E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Администрация образовательной организации, классные руководители, педагоги центра образования «Точка роста», Детского технопарка </w:t>
            </w:r>
            <w:proofErr w:type="spellStart"/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и  другие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заинтересованные лица</w:t>
            </w:r>
          </w:p>
        </w:tc>
        <w:tc>
          <w:tcPr>
            <w:tcW w:w="2240" w:type="dxa"/>
            <w:hideMark/>
          </w:tcPr>
          <w:p w14:paraId="07A46726" w14:textId="28FC03DD" w:rsidR="00011E49" w:rsidRPr="00011E49" w:rsidRDefault="00011E49" w:rsidP="00B678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011E4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20" w:type="dxa"/>
            <w:hideMark/>
          </w:tcPr>
          <w:p w14:paraId="4915C7AA" w14:textId="58A891A6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организаций общего и дополнительного образования</w:t>
            </w:r>
          </w:p>
        </w:tc>
        <w:tc>
          <w:tcPr>
            <w:tcW w:w="3101" w:type="dxa"/>
            <w:gridSpan w:val="2"/>
          </w:tcPr>
          <w:p w14:paraId="7D1DA35E" w14:textId="77777777" w:rsidR="006A17C9" w:rsidRDefault="00693E8C" w:rsidP="006A17C9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Размещение информации о деятельности центра</w:t>
            </w:r>
            <w:r w:rsidRPr="00693E8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образования «Точка роста»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сайте школы </w:t>
            </w:r>
            <w:hyperlink r:id="rId9" w:history="1">
              <w:r w:rsidR="006A17C9" w:rsidRPr="00693E8C">
                <w:rPr>
                  <w:rStyle w:val="af0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Точка роста</w:t>
              </w:r>
            </w:hyperlink>
          </w:p>
          <w:p w14:paraId="67A6765B" w14:textId="689B2804" w:rsidR="00011E49" w:rsidRDefault="00693E8C" w:rsidP="00693E8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 w:rsidR="006A17C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социальной сети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="006A17C9" w:rsidRPr="006A17C9">
              <w:t xml:space="preserve"> </w:t>
            </w:r>
            <w:hyperlink r:id="rId10" w:history="1">
              <w:r w:rsidR="006A17C9" w:rsidRPr="006A17C9">
                <w:rPr>
                  <w:color w:val="0000FF"/>
                  <w:u w:val="single"/>
                </w:rPr>
                <w:t xml:space="preserve">ГБОУ НАО "Основная школа </w:t>
              </w:r>
              <w:proofErr w:type="spellStart"/>
              <w:r w:rsidR="006A17C9" w:rsidRPr="006A17C9">
                <w:rPr>
                  <w:color w:val="0000FF"/>
                  <w:u w:val="single"/>
                </w:rPr>
                <w:lastRenderedPageBreak/>
                <w:t>п</w:t>
              </w:r>
              <w:proofErr w:type="gramStart"/>
              <w:r w:rsidR="006A17C9" w:rsidRPr="006A17C9">
                <w:rPr>
                  <w:color w:val="0000FF"/>
                  <w:u w:val="single"/>
                </w:rPr>
                <w:t>.К</w:t>
              </w:r>
              <w:proofErr w:type="gramEnd"/>
              <w:r w:rsidR="006A17C9" w:rsidRPr="006A17C9">
                <w:rPr>
                  <w:color w:val="0000FF"/>
                  <w:u w:val="single"/>
                </w:rPr>
                <w:t>аратайка</w:t>
              </w:r>
              <w:proofErr w:type="spellEnd"/>
              <w:r w:rsidR="006A17C9" w:rsidRPr="006A17C9">
                <w:rPr>
                  <w:color w:val="0000FF"/>
                  <w:u w:val="single"/>
                </w:rPr>
                <w:t xml:space="preserve">" | </w:t>
              </w:r>
              <w:proofErr w:type="spellStart"/>
              <w:r w:rsidR="006A17C9" w:rsidRPr="006A17C9">
                <w:rPr>
                  <w:color w:val="0000FF"/>
                  <w:u w:val="single"/>
                </w:rPr>
                <w:t>ВКонтакте</w:t>
              </w:r>
              <w:proofErr w:type="spellEnd"/>
            </w:hyperlink>
            <w:bookmarkStart w:id="0" w:name="_GoBack"/>
            <w:bookmarkEnd w:id="0"/>
          </w:p>
          <w:p w14:paraId="08E727CA" w14:textId="157EE4F2" w:rsidR="00693E8C" w:rsidRPr="00011E49" w:rsidRDefault="00693E8C" w:rsidP="006A17C9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6CAED28" w14:textId="123731BD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BFB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4.2.</w:t>
            </w:r>
          </w:p>
        </w:tc>
        <w:tc>
          <w:tcPr>
            <w:tcW w:w="3878" w:type="dxa"/>
          </w:tcPr>
          <w:p w14:paraId="5E6285B0" w14:textId="2CF50BDF" w:rsidR="00011E49" w:rsidRPr="00011E49" w:rsidRDefault="00011E49" w:rsidP="00CF38CE">
            <w:pPr>
              <w:pStyle w:val="TableParagraph"/>
              <w:ind w:left="0" w:right="170" w:hanging="2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Проведение дней открытых дверей в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центрах</w:t>
            </w:r>
            <w:r w:rsidRPr="00011E49">
              <w:rPr>
                <w:spacing w:val="-1"/>
                <w:sz w:val="24"/>
                <w:szCs w:val="24"/>
              </w:rPr>
              <w:t xml:space="preserve"> образования </w:t>
            </w:r>
            <w:r w:rsidRPr="00011E49">
              <w:rPr>
                <w:sz w:val="24"/>
                <w:szCs w:val="24"/>
              </w:rPr>
              <w:t>«Точка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Детском технопарке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</w:tcPr>
          <w:p w14:paraId="04AF920C" w14:textId="77777777" w:rsidR="00011E49" w:rsidRPr="00011E49" w:rsidRDefault="00011E49" w:rsidP="00CB711B">
            <w:pPr>
              <w:pStyle w:val="TableParagraph"/>
              <w:ind w:left="0" w:right="511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Представители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родительской общественности</w:t>
            </w:r>
            <w:r w:rsidRPr="00011E49">
              <w:rPr>
                <w:w w:val="95"/>
                <w:sz w:val="24"/>
                <w:szCs w:val="24"/>
              </w:rPr>
              <w:t>,</w:t>
            </w:r>
          </w:p>
          <w:p w14:paraId="5E82996B" w14:textId="77777777" w:rsidR="00011E49" w:rsidRPr="00011E49" w:rsidRDefault="00011E49" w:rsidP="00CB711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 работники,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14:paraId="5DF182CA" w14:textId="3E035835" w:rsidR="00011E49" w:rsidRPr="00011E49" w:rsidRDefault="00011E49" w:rsidP="00E60C9F">
            <w:pPr>
              <w:pStyle w:val="TableParagraph"/>
              <w:tabs>
                <w:tab w:val="left" w:pos="0"/>
              </w:tabs>
              <w:ind w:left="0" w:right="42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В течение 2024/2025 </w:t>
            </w:r>
          </w:p>
          <w:p w14:paraId="53448D83" w14:textId="21F8091B" w:rsidR="00011E49" w:rsidRPr="00011E49" w:rsidRDefault="00011E49" w:rsidP="00F653A5">
            <w:pPr>
              <w:pStyle w:val="TableParagraph"/>
              <w:ind w:left="0" w:right="42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</w:tcPr>
          <w:p w14:paraId="07F5CD29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Руководители  </w:t>
            </w:r>
          </w:p>
          <w:p w14:paraId="7BCC46F4" w14:textId="6B406052" w:rsidR="00011E49" w:rsidRPr="00011E49" w:rsidRDefault="00011E49" w:rsidP="00F3595A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3101" w:type="dxa"/>
            <w:gridSpan w:val="2"/>
          </w:tcPr>
          <w:p w14:paraId="6A7BDA8D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1B9D5E25" w14:textId="45620025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4BD" w14:textId="1BB00BA8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5.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образования «Точка роста»</w:t>
            </w:r>
            <w:r w:rsidRPr="00011E49">
              <w:rPr>
                <w:sz w:val="24"/>
                <w:szCs w:val="24"/>
              </w:rPr>
              <w:t xml:space="preserve">,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Детского технопарка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5F4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7144DEB8" w14:textId="5D6EA67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6FDA" w14:textId="77777777" w:rsidR="00011E49" w:rsidRPr="00011E49" w:rsidRDefault="00011E4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3878" w:type="dxa"/>
            <w:hideMark/>
          </w:tcPr>
          <w:p w14:paraId="269D0A2A" w14:textId="78D93D0D" w:rsidR="00011E49" w:rsidRPr="00011E49" w:rsidRDefault="00011E49" w:rsidP="00F3595A">
            <w:pPr>
              <w:pStyle w:val="TableParagraph"/>
              <w:ind w:left="0" w:right="205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Круглый стол руководителей центров образования «Точка роста» на тему «Перспективы и развитие Центров»</w:t>
            </w:r>
          </w:p>
        </w:tc>
        <w:tc>
          <w:tcPr>
            <w:tcW w:w="2719" w:type="dxa"/>
            <w:hideMark/>
          </w:tcPr>
          <w:p w14:paraId="719BAC6B" w14:textId="339C4155" w:rsidR="00011E49" w:rsidRPr="00011E49" w:rsidRDefault="00011E49" w:rsidP="00F3595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Педагогические работники центров образования «Точка роста»</w:t>
            </w:r>
          </w:p>
        </w:tc>
        <w:tc>
          <w:tcPr>
            <w:tcW w:w="2240" w:type="dxa"/>
            <w:hideMark/>
          </w:tcPr>
          <w:p w14:paraId="7C3289CA" w14:textId="0BA5AE61" w:rsidR="00011E49" w:rsidRPr="00011E49" w:rsidRDefault="00011E49" w:rsidP="00EB095C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  <w:shd w:val="clear" w:color="auto" w:fill="FFFFFF"/>
              </w:rPr>
              <w:t>Май 2025 года</w:t>
            </w:r>
          </w:p>
        </w:tc>
        <w:tc>
          <w:tcPr>
            <w:tcW w:w="2620" w:type="dxa"/>
            <w:hideMark/>
          </w:tcPr>
          <w:p w14:paraId="39DD1394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Спирихина», Государственное бюджетное </w:t>
            </w: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lastRenderedPageBreak/>
              <w:t>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78F537F6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92BBE9A" w14:textId="0E822CE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D65" w14:textId="77777777" w:rsidR="00011E49" w:rsidRPr="00011E49" w:rsidRDefault="00011E49" w:rsidP="003802D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5.2.</w:t>
            </w:r>
          </w:p>
        </w:tc>
        <w:tc>
          <w:tcPr>
            <w:tcW w:w="3878" w:type="dxa"/>
          </w:tcPr>
          <w:p w14:paraId="6371A2E7" w14:textId="77777777" w:rsidR="00011E49" w:rsidRPr="00011E49" w:rsidRDefault="00011E49" w:rsidP="00B678F7">
            <w:pPr>
              <w:pStyle w:val="TableParagraph"/>
              <w:ind w:left="0" w:right="205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Проект «Таланты Арктики»</w:t>
            </w:r>
          </w:p>
          <w:p w14:paraId="19835176" w14:textId="77777777" w:rsidR="00011E49" w:rsidRPr="00011E49" w:rsidRDefault="00011E49" w:rsidP="00B678F7">
            <w:pPr>
              <w:pStyle w:val="TableParagraph"/>
              <w:ind w:left="0" w:right="205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(цикл видео передач о талантливых детях Ненецкого автономного округа)</w:t>
            </w:r>
          </w:p>
        </w:tc>
        <w:tc>
          <w:tcPr>
            <w:tcW w:w="2719" w:type="dxa"/>
          </w:tcPr>
          <w:p w14:paraId="5DD8D1AA" w14:textId="77777777" w:rsidR="00011E49" w:rsidRPr="00011E49" w:rsidRDefault="00011E49" w:rsidP="00162755">
            <w:pPr>
              <w:pStyle w:val="TableParagraph"/>
              <w:ind w:left="0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Обучающиеся 1–11 классов, педагогические работники  </w:t>
            </w:r>
          </w:p>
        </w:tc>
        <w:tc>
          <w:tcPr>
            <w:tcW w:w="2240" w:type="dxa"/>
          </w:tcPr>
          <w:p w14:paraId="61F050A1" w14:textId="27F480DB" w:rsidR="00011E49" w:rsidRPr="00011E49" w:rsidRDefault="00011E49" w:rsidP="00EB095C">
            <w:pPr>
              <w:pStyle w:val="TableParagraph"/>
              <w:ind w:left="0" w:right="226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В течение 2024/2025 учебного года</w:t>
            </w:r>
          </w:p>
        </w:tc>
        <w:tc>
          <w:tcPr>
            <w:tcW w:w="2620" w:type="dxa"/>
          </w:tcPr>
          <w:p w14:paraId="5B522394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Спирихина», 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33011280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023AFF0" w14:textId="00191ACB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3EF" w14:textId="5064456C" w:rsidR="00011E49" w:rsidRPr="00011E49" w:rsidRDefault="00011E49" w:rsidP="0070238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3878" w:type="dxa"/>
          </w:tcPr>
          <w:p w14:paraId="3A58C740" w14:textId="46A22EF9" w:rsidR="00011E49" w:rsidRPr="00011E49" w:rsidRDefault="00011E49" w:rsidP="00702380">
            <w:pPr>
              <w:pStyle w:val="TableParagraph"/>
              <w:ind w:left="0" w:right="9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Использование ресурсов центров образования «Точка  роста», </w:t>
            </w:r>
            <w:r w:rsidRPr="00011E49">
              <w:rPr>
                <w:sz w:val="24"/>
                <w:szCs w:val="24"/>
              </w:rPr>
              <w:lastRenderedPageBreak/>
              <w:t>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 xml:space="preserve">» в рамках работы лагерей дневного пребывания при образовательных организация </w:t>
            </w:r>
          </w:p>
        </w:tc>
        <w:tc>
          <w:tcPr>
            <w:tcW w:w="2719" w:type="dxa"/>
          </w:tcPr>
          <w:p w14:paraId="7AE0AA67" w14:textId="5805AE00" w:rsidR="00011E49" w:rsidRPr="00011E49" w:rsidRDefault="00011E49" w:rsidP="00702380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lastRenderedPageBreak/>
              <w:t xml:space="preserve">Обучающиеся образовательных </w:t>
            </w:r>
            <w:r w:rsidRPr="00011E49">
              <w:rPr>
                <w:sz w:val="24"/>
                <w:szCs w:val="24"/>
              </w:rPr>
              <w:lastRenderedPageBreak/>
              <w:t>организаций, посещающие лагеря дневного пребывания</w:t>
            </w:r>
          </w:p>
        </w:tc>
        <w:tc>
          <w:tcPr>
            <w:tcW w:w="2240" w:type="dxa"/>
          </w:tcPr>
          <w:p w14:paraId="17F62E8D" w14:textId="6CF10905" w:rsidR="00011E49" w:rsidRPr="00011E49" w:rsidRDefault="00011E49" w:rsidP="00702380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lastRenderedPageBreak/>
              <w:t>Июнь 2025 года</w:t>
            </w:r>
          </w:p>
        </w:tc>
        <w:tc>
          <w:tcPr>
            <w:tcW w:w="2620" w:type="dxa"/>
          </w:tcPr>
          <w:p w14:paraId="5A6497E2" w14:textId="55B069AF" w:rsidR="00011E49" w:rsidRPr="00011E49" w:rsidRDefault="00011E49" w:rsidP="00970677">
            <w:pPr>
              <w:pStyle w:val="TableParagraph"/>
              <w:ind w:left="0" w:right="96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 xml:space="preserve">Руководители организаций общего и </w:t>
            </w:r>
            <w:r w:rsidRPr="00011E49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101" w:type="dxa"/>
            <w:gridSpan w:val="2"/>
          </w:tcPr>
          <w:p w14:paraId="5E25817C" w14:textId="77777777" w:rsidR="00011E49" w:rsidRPr="00011E49" w:rsidRDefault="00011E49" w:rsidP="00970677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05CF7FAA" w14:textId="3EE56553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B3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6.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8A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C112A5A" w14:textId="73D5EEC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1B3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878" w:type="dxa"/>
            <w:hideMark/>
          </w:tcPr>
          <w:p w14:paraId="26EDB855" w14:textId="0DE0F779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дней самоуправления с организацией и проведением обучающимися учебных занятий по различным направлениям на базе центров образования  «Точка роста» </w:t>
            </w:r>
          </w:p>
        </w:tc>
        <w:tc>
          <w:tcPr>
            <w:tcW w:w="2719" w:type="dxa"/>
            <w:hideMark/>
          </w:tcPr>
          <w:p w14:paraId="08C554D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1–11 классов, педагогические работники  </w:t>
            </w:r>
          </w:p>
        </w:tc>
        <w:tc>
          <w:tcPr>
            <w:tcW w:w="2240" w:type="dxa"/>
            <w:hideMark/>
          </w:tcPr>
          <w:p w14:paraId="1553DB3A" w14:textId="36D4C662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2024 года</w:t>
            </w:r>
          </w:p>
        </w:tc>
        <w:tc>
          <w:tcPr>
            <w:tcW w:w="2620" w:type="dxa"/>
            <w:hideMark/>
          </w:tcPr>
          <w:p w14:paraId="4D0DF8DE" w14:textId="7B9A3437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образования «Точка роста», педагоги общеобразовательных организаций</w:t>
            </w:r>
          </w:p>
        </w:tc>
        <w:tc>
          <w:tcPr>
            <w:tcW w:w="3101" w:type="dxa"/>
            <w:gridSpan w:val="2"/>
          </w:tcPr>
          <w:p w14:paraId="71356BAE" w14:textId="77777777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4469BBA" w14:textId="21447181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009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7.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CD5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1C4C487" w14:textId="1AB6BD4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331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7.1.</w:t>
            </w:r>
          </w:p>
        </w:tc>
        <w:tc>
          <w:tcPr>
            <w:tcW w:w="3878" w:type="dxa"/>
            <w:hideMark/>
          </w:tcPr>
          <w:p w14:paraId="1BA5CC20" w14:textId="77777777" w:rsidR="00011E49" w:rsidRPr="00011E49" w:rsidRDefault="00011E49" w:rsidP="00CB711B">
            <w:pPr>
              <w:pStyle w:val="TableParagraph"/>
              <w:ind w:left="0" w:right="169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Организация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участия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обучающихся</w:t>
            </w:r>
            <w:r w:rsidRPr="00011E49">
              <w:rPr>
                <w:spacing w:val="-6"/>
                <w:sz w:val="24"/>
                <w:szCs w:val="24"/>
              </w:rPr>
              <w:t xml:space="preserve"> школы </w:t>
            </w:r>
            <w:r w:rsidRPr="00011E49">
              <w:rPr>
                <w:sz w:val="24"/>
                <w:szCs w:val="24"/>
              </w:rPr>
              <w:t>федеральных проектах «Билет в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будущее»,</w:t>
            </w:r>
            <w:r w:rsidRPr="00011E49">
              <w:rPr>
                <w:spacing w:val="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«</w:t>
            </w:r>
            <w:proofErr w:type="spellStart"/>
            <w:r w:rsidRPr="00011E49">
              <w:rPr>
                <w:sz w:val="24"/>
                <w:szCs w:val="24"/>
              </w:rPr>
              <w:t>ПроеКТОриЯ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  <w:hideMark/>
          </w:tcPr>
          <w:p w14:paraId="42949BA0" w14:textId="77777777" w:rsidR="00011E49" w:rsidRPr="00011E49" w:rsidRDefault="00011E4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 образовательных организаций,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14:paraId="5A232536" w14:textId="77777777" w:rsidR="00011E49" w:rsidRPr="00011E49" w:rsidRDefault="00011E49" w:rsidP="00CB711B">
            <w:pPr>
              <w:pStyle w:val="TableParagraph"/>
              <w:ind w:left="13" w:right="54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сроки,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определяемые проектами</w:t>
            </w:r>
          </w:p>
        </w:tc>
        <w:tc>
          <w:tcPr>
            <w:tcW w:w="2620" w:type="dxa"/>
            <w:hideMark/>
          </w:tcPr>
          <w:p w14:paraId="11576B87" w14:textId="77777777" w:rsidR="00011E49" w:rsidRPr="00011E49" w:rsidRDefault="00011E49" w:rsidP="00CB711B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3101" w:type="dxa"/>
            <w:gridSpan w:val="2"/>
          </w:tcPr>
          <w:p w14:paraId="6F87BD21" w14:textId="77777777" w:rsidR="00011E49" w:rsidRPr="00011E49" w:rsidRDefault="00011E49" w:rsidP="00CB711B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7AADC55B" w14:textId="530B551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882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3878" w:type="dxa"/>
          </w:tcPr>
          <w:p w14:paraId="234E786C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Посещение обучающимися конкурсных площадок регионального этапа чемпионата по профессиональному мастерству «Профессионалы»</w:t>
            </w:r>
          </w:p>
        </w:tc>
        <w:tc>
          <w:tcPr>
            <w:tcW w:w="2719" w:type="dxa"/>
          </w:tcPr>
          <w:p w14:paraId="146E8ED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14:paraId="706BA6FF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14:paraId="6CF2885C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620" w:type="dxa"/>
          </w:tcPr>
          <w:p w14:paraId="2F6617D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74CD435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5CB127DA" w14:textId="2CABF57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8FA" w14:textId="77777777" w:rsidR="00011E49" w:rsidRPr="00011E49" w:rsidRDefault="00011E49" w:rsidP="001F0C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805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в рамках профориентационной программы регионального этапа чемпионата </w:t>
            </w:r>
          </w:p>
          <w:p w14:paraId="0FEADB69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 профессиональному мастерству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«Профессионалы»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956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470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 мероприятия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D43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Ненецкого автономного округа «Ненецкий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15F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4B06E62" w14:textId="0870144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159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7.4.</w:t>
            </w:r>
          </w:p>
        </w:tc>
        <w:tc>
          <w:tcPr>
            <w:tcW w:w="3878" w:type="dxa"/>
          </w:tcPr>
          <w:p w14:paraId="68D01D11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с ограниченными возможностями здоровья в рамках профориентационной программы Регионального чемпионата </w:t>
            </w:r>
          </w:p>
          <w:p w14:paraId="12F7F5B0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719" w:type="dxa"/>
          </w:tcPr>
          <w:p w14:paraId="4D99129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14:paraId="046BFB4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14:paraId="3D93E8B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620" w:type="dxa"/>
          </w:tcPr>
          <w:p w14:paraId="6E53ECC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4EC6CA79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97F02C3" w14:textId="5ECF06F1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D76" w14:textId="0C080088" w:rsidR="00011E49" w:rsidRPr="00011E49" w:rsidRDefault="00011E49" w:rsidP="00F3595A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8.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образования «Точка роста», Детского технопарка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34B" w14:textId="77777777" w:rsidR="00011E49" w:rsidRPr="00011E49" w:rsidRDefault="00011E49" w:rsidP="00F3595A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1E6FB1EA" w14:textId="36B1298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3D7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3878" w:type="dxa"/>
            <w:hideMark/>
          </w:tcPr>
          <w:p w14:paraId="0DFAD026" w14:textId="5890C165" w:rsidR="00011E49" w:rsidRPr="00011E49" w:rsidRDefault="00011E49" w:rsidP="00F3595A">
            <w:pPr>
              <w:pStyle w:val="TableParagraph"/>
              <w:ind w:left="72" w:right="228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Декада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защиты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проектов,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обучающихся </w:t>
            </w:r>
            <w:r w:rsidRPr="00011E49">
              <w:rPr>
                <w:spacing w:val="-62"/>
                <w:sz w:val="24"/>
                <w:szCs w:val="24"/>
              </w:rPr>
              <w:t xml:space="preserve">    </w:t>
            </w:r>
            <w:r w:rsidRPr="00011E49">
              <w:rPr>
                <w:sz w:val="24"/>
                <w:szCs w:val="24"/>
              </w:rPr>
              <w:t>центров образования «Точка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  <w:hideMark/>
          </w:tcPr>
          <w:p w14:paraId="6A0FE864" w14:textId="77777777" w:rsidR="00011E49" w:rsidRPr="00011E49" w:rsidRDefault="00011E49" w:rsidP="00CB711B">
            <w:pPr>
              <w:pStyle w:val="TableParagraph"/>
              <w:ind w:left="0" w:right="116"/>
              <w:jc w:val="left"/>
              <w:rPr>
                <w:spacing w:val="-62"/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</w:t>
            </w:r>
            <w:r w:rsidRPr="00011E49">
              <w:rPr>
                <w:spacing w:val="-4"/>
                <w:sz w:val="24"/>
                <w:szCs w:val="24"/>
              </w:rPr>
              <w:t xml:space="preserve"> образовательных организаций, педагогические</w:t>
            </w:r>
            <w:r w:rsidRPr="00011E49">
              <w:rPr>
                <w:spacing w:val="-62"/>
                <w:sz w:val="24"/>
                <w:szCs w:val="24"/>
              </w:rPr>
              <w:t xml:space="preserve"> </w:t>
            </w:r>
          </w:p>
          <w:p w14:paraId="7F533312" w14:textId="688BBD7C" w:rsidR="00011E49" w:rsidRPr="00011E49" w:rsidRDefault="00011E49" w:rsidP="00CB711B">
            <w:pPr>
              <w:pStyle w:val="TableParagraph"/>
              <w:ind w:left="0" w:right="11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центра образования </w:t>
            </w:r>
          </w:p>
          <w:p w14:paraId="35DB2536" w14:textId="760F7053" w:rsidR="00011E49" w:rsidRPr="00011E49" w:rsidRDefault="00011E49" w:rsidP="00CB711B">
            <w:pPr>
              <w:pStyle w:val="TableParagraph"/>
              <w:ind w:left="0" w:right="1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«Точка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240" w:type="dxa"/>
            <w:hideMark/>
          </w:tcPr>
          <w:p w14:paraId="332F6335" w14:textId="516E5FA9" w:rsidR="00011E49" w:rsidRPr="00011E49" w:rsidRDefault="00011E49" w:rsidP="00F3595A">
            <w:pPr>
              <w:pStyle w:val="TableParagraph"/>
              <w:ind w:left="617" w:hanging="60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Март-май </w:t>
            </w:r>
            <w:r w:rsidRPr="00011E49">
              <w:rPr>
                <w:spacing w:val="-5"/>
                <w:sz w:val="24"/>
                <w:szCs w:val="24"/>
              </w:rPr>
              <w:t xml:space="preserve">2025 </w:t>
            </w:r>
            <w:r w:rsidRPr="00011E49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hideMark/>
          </w:tcPr>
          <w:p w14:paraId="3BFDB2E2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Руководители  </w:t>
            </w:r>
          </w:p>
          <w:p w14:paraId="0EC45EA6" w14:textId="5731539F" w:rsidR="00011E49" w:rsidRPr="00011E49" w:rsidRDefault="00011E49" w:rsidP="00162755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», педагогические работники</w:t>
            </w:r>
          </w:p>
        </w:tc>
        <w:tc>
          <w:tcPr>
            <w:tcW w:w="3101" w:type="dxa"/>
            <w:gridSpan w:val="2"/>
          </w:tcPr>
          <w:p w14:paraId="4591E71F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010CA464" w14:textId="5EBAE150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CE8" w14:textId="38A44455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9.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образования «Точка роста»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8FF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9D30EC2" w14:textId="20684B8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737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3878" w:type="dxa"/>
            <w:hideMark/>
          </w:tcPr>
          <w:p w14:paraId="12521D3D" w14:textId="56DD193D" w:rsidR="00011E49" w:rsidRPr="00011E49" w:rsidRDefault="00011E49" w:rsidP="009F3B39">
            <w:pPr>
              <w:pStyle w:val="TableParagraph"/>
              <w:ind w:left="108" w:right="9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Использование</w:t>
            </w:r>
            <w:r w:rsidRPr="00011E49">
              <w:rPr>
                <w:spacing w:val="-9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ресурсов</w:t>
            </w:r>
            <w:r w:rsidRPr="00011E49">
              <w:rPr>
                <w:spacing w:val="-8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</w:t>
            </w:r>
            <w:r w:rsidRPr="00011E49">
              <w:rPr>
                <w:spacing w:val="-5"/>
                <w:sz w:val="24"/>
                <w:szCs w:val="24"/>
              </w:rPr>
              <w:t xml:space="preserve"> образования </w:t>
            </w:r>
            <w:r w:rsidRPr="00011E49">
              <w:rPr>
                <w:sz w:val="24"/>
                <w:szCs w:val="24"/>
              </w:rPr>
              <w:t xml:space="preserve">«Точка </w:t>
            </w:r>
            <w:r w:rsidRPr="00011E49">
              <w:rPr>
                <w:spacing w:val="-6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роста» в рамках работы со школами с  </w:t>
            </w:r>
            <w:r w:rsidRPr="00011E49">
              <w:rPr>
                <w:sz w:val="24"/>
                <w:szCs w:val="24"/>
              </w:rPr>
              <w:lastRenderedPageBreak/>
              <w:t>низкими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образовательными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719" w:type="dxa"/>
            <w:hideMark/>
          </w:tcPr>
          <w:p w14:paraId="73386D72" w14:textId="77777777" w:rsidR="00011E49" w:rsidRPr="00011E49" w:rsidRDefault="00011E4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lastRenderedPageBreak/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14:paraId="56CBA8C5" w14:textId="4001EAAA" w:rsidR="00011E49" w:rsidRPr="00011E49" w:rsidRDefault="00011E49" w:rsidP="00702380">
            <w:pPr>
              <w:pStyle w:val="TableParagraph"/>
              <w:tabs>
                <w:tab w:val="left" w:pos="13"/>
              </w:tabs>
              <w:ind w:left="13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</w:t>
            </w:r>
            <w:r w:rsidRPr="00011E49">
              <w:rPr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течение</w:t>
            </w:r>
            <w:r w:rsidRPr="00011E49">
              <w:rPr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  <w:hideMark/>
          </w:tcPr>
          <w:p w14:paraId="5E167F3B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Государственное бюджетное учреждение </w:t>
            </w:r>
            <w:r w:rsidRPr="00011E49">
              <w:rPr>
                <w:sz w:val="24"/>
                <w:szCs w:val="24"/>
              </w:rPr>
              <w:lastRenderedPageBreak/>
              <w:t>Ненецкого автономного округа «Ненецкий региональный центр развития образования»,</w:t>
            </w:r>
          </w:p>
          <w:p w14:paraId="201BE954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01" w:type="dxa"/>
            <w:gridSpan w:val="2"/>
          </w:tcPr>
          <w:p w14:paraId="5C25344E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110519F3" w14:textId="4AEE8250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11C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10.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883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2DDD59E" w14:textId="615BF95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C8A" w14:textId="77777777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3878" w:type="dxa"/>
          </w:tcPr>
          <w:p w14:paraId="15288E7D" w14:textId="4CEEFC11" w:rsidR="00011E49" w:rsidRPr="00011E49" w:rsidRDefault="00011E49" w:rsidP="007B1E5D">
            <w:pPr>
              <w:pStyle w:val="TableParagraph"/>
              <w:ind w:left="0" w:right="170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>Мастер-классы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педагогов</w:t>
            </w:r>
            <w:r w:rsidRPr="00011E49">
              <w:rPr>
                <w:spacing w:val="-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 образования «Точка роста» по формированию 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развитию естественно-научной направленности</w:t>
            </w:r>
          </w:p>
        </w:tc>
        <w:tc>
          <w:tcPr>
            <w:tcW w:w="2719" w:type="dxa"/>
          </w:tcPr>
          <w:p w14:paraId="4FEF008A" w14:textId="77777777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Учителя физики,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химии, биологии,</w:t>
            </w:r>
          </w:p>
          <w:p w14:paraId="1EF491A4" w14:textId="77777777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14:paraId="2783FC73" w14:textId="48203D10" w:rsidR="00011E49" w:rsidRPr="00011E49" w:rsidRDefault="00011E49" w:rsidP="007023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</w:tcPr>
          <w:p w14:paraId="0D788047" w14:textId="5DB5EFE1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20794D82" w14:textId="77777777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32318294" w14:textId="4FD06634" w:rsidTr="00011E49">
        <w:trPr>
          <w:trHeight w:val="140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695" w14:textId="77777777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38F" w14:textId="171D54DD" w:rsidR="00011E49" w:rsidRPr="00011E49" w:rsidRDefault="00011E49" w:rsidP="007B1E5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Мастер-классы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педагогов</w:t>
            </w:r>
            <w:r w:rsidRPr="00011E49">
              <w:rPr>
                <w:spacing w:val="-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 образования «Точка роста» по формированию 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развитию технологической направленности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EC9" w14:textId="77777777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Учителя технологии,</w:t>
            </w:r>
          </w:p>
          <w:p w14:paraId="5A3595FB" w14:textId="77777777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A87" w14:textId="73323C82" w:rsidR="00011E49" w:rsidRPr="00011E49" w:rsidRDefault="00011E49" w:rsidP="007023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FE9" w14:textId="5B6B0C9B" w:rsidR="00011E49" w:rsidRPr="00011E49" w:rsidRDefault="00011E49" w:rsidP="00B577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D5" w14:textId="77777777" w:rsidR="00011E49" w:rsidRPr="00011E49" w:rsidRDefault="00011E49" w:rsidP="00B57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7E3CAFEE" w14:textId="11F51182" w:rsidTr="00011E49">
        <w:trPr>
          <w:trHeight w:val="140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A60" w14:textId="2D45C851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F21" w14:textId="3E566B37" w:rsidR="00011E49" w:rsidRPr="00011E49" w:rsidRDefault="00011E49" w:rsidP="00162755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Конкурс педагогических разработок «Лучшие практики по</w:t>
            </w:r>
            <w:r w:rsidRPr="00011E49">
              <w:rPr>
                <w:sz w:val="24"/>
                <w:szCs w:val="24"/>
              </w:rPr>
              <w:br/>
              <w:t>использованию лабораторного оборудования центров образования</w:t>
            </w:r>
            <w:r w:rsidRPr="00011E49">
              <w:rPr>
                <w:sz w:val="24"/>
                <w:szCs w:val="24"/>
              </w:rPr>
              <w:br/>
              <w:t>«Точка роста»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34C" w14:textId="22C4D93E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7D3" w14:textId="3779D990" w:rsidR="00011E49" w:rsidRPr="00011E49" w:rsidRDefault="00011E49" w:rsidP="009F3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2DA" w14:textId="60CE5FE8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Ненецкого автономного округа «Ненецкий региональный центр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D6" w14:textId="77777777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B45CD" w14:textId="77777777" w:rsidR="009E24B7" w:rsidRDefault="009E24B7" w:rsidP="005B7E06">
      <w:pPr>
        <w:rPr>
          <w:rFonts w:ascii="Times New Roman" w:hAnsi="Times New Roman" w:cs="Times New Roman"/>
          <w:sz w:val="26"/>
          <w:szCs w:val="26"/>
        </w:rPr>
      </w:pPr>
    </w:p>
    <w:p w14:paraId="1E61A1BE" w14:textId="77777777" w:rsidR="005B7E06" w:rsidRPr="00587961" w:rsidRDefault="005B7E06" w:rsidP="005B7E0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sectPr w:rsidR="005B7E06" w:rsidRPr="00587961" w:rsidSect="00CB711B">
      <w:headerReference w:type="default" r:id="rId11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5260" w14:textId="77777777" w:rsidR="0080672A" w:rsidRDefault="0080672A" w:rsidP="00CB711B">
      <w:pPr>
        <w:spacing w:after="0" w:line="240" w:lineRule="auto"/>
      </w:pPr>
      <w:r>
        <w:separator/>
      </w:r>
    </w:p>
  </w:endnote>
  <w:endnote w:type="continuationSeparator" w:id="0">
    <w:p w14:paraId="3EE50084" w14:textId="77777777" w:rsidR="0080672A" w:rsidRDefault="0080672A" w:rsidP="00CB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D2E3" w14:textId="77777777" w:rsidR="0080672A" w:rsidRDefault="0080672A" w:rsidP="00CB711B">
      <w:pPr>
        <w:spacing w:after="0" w:line="240" w:lineRule="auto"/>
      </w:pPr>
      <w:r>
        <w:separator/>
      </w:r>
    </w:p>
  </w:footnote>
  <w:footnote w:type="continuationSeparator" w:id="0">
    <w:p w14:paraId="435038BC" w14:textId="77777777" w:rsidR="0080672A" w:rsidRDefault="0080672A" w:rsidP="00CB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3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E70B7C7" w14:textId="4327458C" w:rsidR="00CB711B" w:rsidRPr="00CB711B" w:rsidRDefault="00CB711B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CB711B">
          <w:rPr>
            <w:rFonts w:ascii="Times New Roman" w:hAnsi="Times New Roman" w:cs="Times New Roman"/>
            <w:sz w:val="20"/>
          </w:rPr>
          <w:fldChar w:fldCharType="begin"/>
        </w:r>
        <w:r w:rsidRPr="00CB711B">
          <w:rPr>
            <w:rFonts w:ascii="Times New Roman" w:hAnsi="Times New Roman" w:cs="Times New Roman"/>
            <w:sz w:val="20"/>
          </w:rPr>
          <w:instrText>PAGE   \* MERGEFORMAT</w:instrText>
        </w:r>
        <w:r w:rsidRPr="00CB711B">
          <w:rPr>
            <w:rFonts w:ascii="Times New Roman" w:hAnsi="Times New Roman" w:cs="Times New Roman"/>
            <w:sz w:val="20"/>
          </w:rPr>
          <w:fldChar w:fldCharType="separate"/>
        </w:r>
        <w:r w:rsidR="006A17C9">
          <w:rPr>
            <w:rFonts w:ascii="Times New Roman" w:hAnsi="Times New Roman" w:cs="Times New Roman"/>
            <w:noProof/>
            <w:sz w:val="20"/>
          </w:rPr>
          <w:t>6</w:t>
        </w:r>
        <w:r w:rsidRPr="00CB71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472CC1" w14:textId="77777777" w:rsidR="00CB711B" w:rsidRDefault="00CB71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A8"/>
    <w:rsid w:val="00011E49"/>
    <w:rsid w:val="000B04F0"/>
    <w:rsid w:val="00102B27"/>
    <w:rsid w:val="00125FF0"/>
    <w:rsid w:val="00162755"/>
    <w:rsid w:val="001727F2"/>
    <w:rsid w:val="001F0CE7"/>
    <w:rsid w:val="0023721E"/>
    <w:rsid w:val="002430A8"/>
    <w:rsid w:val="00243F70"/>
    <w:rsid w:val="00246C73"/>
    <w:rsid w:val="00251759"/>
    <w:rsid w:val="00271AF5"/>
    <w:rsid w:val="002878F8"/>
    <w:rsid w:val="002A2EFF"/>
    <w:rsid w:val="002A5246"/>
    <w:rsid w:val="002E4C3D"/>
    <w:rsid w:val="002F3CA8"/>
    <w:rsid w:val="00310CFD"/>
    <w:rsid w:val="00335474"/>
    <w:rsid w:val="0034763B"/>
    <w:rsid w:val="003732C8"/>
    <w:rsid w:val="003751F8"/>
    <w:rsid w:val="003802D0"/>
    <w:rsid w:val="00391E0F"/>
    <w:rsid w:val="00483E26"/>
    <w:rsid w:val="004A44FD"/>
    <w:rsid w:val="004B530A"/>
    <w:rsid w:val="004D044F"/>
    <w:rsid w:val="00553A16"/>
    <w:rsid w:val="00556B31"/>
    <w:rsid w:val="00577702"/>
    <w:rsid w:val="00587961"/>
    <w:rsid w:val="005B7E06"/>
    <w:rsid w:val="006252B0"/>
    <w:rsid w:val="006414B4"/>
    <w:rsid w:val="00653117"/>
    <w:rsid w:val="00656674"/>
    <w:rsid w:val="0067086E"/>
    <w:rsid w:val="00693E8C"/>
    <w:rsid w:val="006A17C9"/>
    <w:rsid w:val="006B0B60"/>
    <w:rsid w:val="006C494A"/>
    <w:rsid w:val="00702380"/>
    <w:rsid w:val="007123ED"/>
    <w:rsid w:val="00730DB7"/>
    <w:rsid w:val="007B1E5D"/>
    <w:rsid w:val="007D54BD"/>
    <w:rsid w:val="0080672A"/>
    <w:rsid w:val="00821C39"/>
    <w:rsid w:val="0082715F"/>
    <w:rsid w:val="00854C23"/>
    <w:rsid w:val="008A4CC7"/>
    <w:rsid w:val="008D6695"/>
    <w:rsid w:val="008E56CB"/>
    <w:rsid w:val="008F3CFB"/>
    <w:rsid w:val="009600E4"/>
    <w:rsid w:val="00965F57"/>
    <w:rsid w:val="00970677"/>
    <w:rsid w:val="009D64EA"/>
    <w:rsid w:val="009E24B7"/>
    <w:rsid w:val="009F3B39"/>
    <w:rsid w:val="00A06BB6"/>
    <w:rsid w:val="00A20060"/>
    <w:rsid w:val="00A407E8"/>
    <w:rsid w:val="00A73F4B"/>
    <w:rsid w:val="00A85149"/>
    <w:rsid w:val="00AD15DD"/>
    <w:rsid w:val="00AD24C6"/>
    <w:rsid w:val="00B35E6B"/>
    <w:rsid w:val="00B447FE"/>
    <w:rsid w:val="00B5773F"/>
    <w:rsid w:val="00B678F7"/>
    <w:rsid w:val="00B840C8"/>
    <w:rsid w:val="00BC0384"/>
    <w:rsid w:val="00BD4B80"/>
    <w:rsid w:val="00C0352E"/>
    <w:rsid w:val="00C46075"/>
    <w:rsid w:val="00C5617A"/>
    <w:rsid w:val="00C656BD"/>
    <w:rsid w:val="00C94CA9"/>
    <w:rsid w:val="00CA3714"/>
    <w:rsid w:val="00CB711B"/>
    <w:rsid w:val="00CC3DB7"/>
    <w:rsid w:val="00CC3EE5"/>
    <w:rsid w:val="00CC7A0E"/>
    <w:rsid w:val="00CF38CE"/>
    <w:rsid w:val="00D046C1"/>
    <w:rsid w:val="00D1530D"/>
    <w:rsid w:val="00DB36B1"/>
    <w:rsid w:val="00DE0699"/>
    <w:rsid w:val="00E02CA6"/>
    <w:rsid w:val="00E56A19"/>
    <w:rsid w:val="00E60C9F"/>
    <w:rsid w:val="00EB095C"/>
    <w:rsid w:val="00EE36AD"/>
    <w:rsid w:val="00F17C11"/>
    <w:rsid w:val="00F255C2"/>
    <w:rsid w:val="00F3595A"/>
    <w:rsid w:val="00F360ED"/>
    <w:rsid w:val="00F37D01"/>
    <w:rsid w:val="00F44D6A"/>
    <w:rsid w:val="00F653A5"/>
    <w:rsid w:val="00F71951"/>
    <w:rsid w:val="00F75543"/>
    <w:rsid w:val="00FD1F9A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89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B7"/>
    <w:pPr>
      <w:ind w:left="720"/>
      <w:contextualSpacing/>
    </w:pPr>
  </w:style>
  <w:style w:type="table" w:styleId="a4">
    <w:name w:val="Table Grid"/>
    <w:basedOn w:val="a1"/>
    <w:uiPriority w:val="39"/>
    <w:rsid w:val="009E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80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287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8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8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11B"/>
  </w:style>
  <w:style w:type="paragraph" w:styleId="ae">
    <w:name w:val="footer"/>
    <w:basedOn w:val="a"/>
    <w:link w:val="af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11B"/>
  </w:style>
  <w:style w:type="character" w:styleId="af0">
    <w:name w:val="Hyperlink"/>
    <w:basedOn w:val="a0"/>
    <w:uiPriority w:val="99"/>
    <w:unhideWhenUsed/>
    <w:rsid w:val="00693E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B7"/>
    <w:pPr>
      <w:ind w:left="720"/>
      <w:contextualSpacing/>
    </w:pPr>
  </w:style>
  <w:style w:type="table" w:styleId="a4">
    <w:name w:val="Table Grid"/>
    <w:basedOn w:val="a1"/>
    <w:uiPriority w:val="39"/>
    <w:rsid w:val="009E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80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287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8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8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11B"/>
  </w:style>
  <w:style w:type="paragraph" w:styleId="ae">
    <w:name w:val="footer"/>
    <w:basedOn w:val="a"/>
    <w:link w:val="af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11B"/>
  </w:style>
  <w:style w:type="character" w:styleId="af0">
    <w:name w:val="Hyperlink"/>
    <w:basedOn w:val="a0"/>
    <w:uiPriority w:val="99"/>
    <w:unhideWhenUsed/>
    <w:rsid w:val="00693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lub177698172?ysclid=m2snmk02bv204294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karatajka-r83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077A-E46F-48A4-A226-4EF21DE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Татьяна Валентиновна</dc:creator>
  <cp:keywords/>
  <dc:description/>
  <cp:lastModifiedBy>LLA</cp:lastModifiedBy>
  <cp:revision>21</cp:revision>
  <dcterms:created xsi:type="dcterms:W3CDTF">2023-08-02T08:00:00Z</dcterms:created>
  <dcterms:modified xsi:type="dcterms:W3CDTF">2024-10-28T08:02:00Z</dcterms:modified>
</cp:coreProperties>
</file>